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97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1155"/>
        <w:gridCol w:w="1050"/>
        <w:gridCol w:w="1185"/>
        <w:gridCol w:w="1275"/>
        <w:gridCol w:w="615"/>
        <w:gridCol w:w="1680"/>
      </w:tblGrid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000000"/>
              <w:left w:val="none" w:sz="5" w:space="0" w:color="000000"/>
              <w:bottom w:val="single" w:sz="10" w:space="0" w:color="000000"/>
              <w:right w:val="none" w:sz="5" w:space="0" w:color="000000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  <w:color w:val="000000"/>
              </w:rPr>
              <w:t>МБУ с.п. Березняки м.р. Кинель-Черкасский  «Культурно-досуговый центр»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8850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1. ОТКРЫТОСТЬ И ДОСТУПНОСТЬ ИНФОРМАЦИИ ОБ ОРГАНИЗАЦИИ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Показатели, характеризующие открытость и доступность информации об организации, измерялись посредством: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оценки контента информации о деятельности организации, размещенной на информационных стендах в помещении и на территории организации;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оценки контента информации о деятельности организации, размещенной на официальном сайте организации;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определения наличия на официальном сайте организации информации о дистанционных способах обратной связи и взаимодействия с получателями услуг, а также оценки их функционирования (телефона; электронной почты; электронных сервисов (форма для подачи электронного обращения (жалобы, предложения), получение консультации по оказываемым услугам и пр.), раздела «Часто задаваемые вопросы», технической возможности выражения получателем услуг мнения о качестве условий оказания услуг организацией (наличие анкеты для опроса граждан или гиперссылки на нее);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определения доли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 и на официальном сайте организации (в % от общего числа опрошенных получателей услуг).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1.1.  Соответствие информации о деятельности организации, размещенной на информационных стендах в помещении и на территории организации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В соответствии  со ст. 36.2. Основы законодательства Российской Федерации о культуре (утв. ВС РФ 09.10.1992 N 3612-1) (ред. от 30.04.2021) на информационных стендах организаций культуры необходимо разместить 13 документов.</w:t>
            </w: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sz w:val="24"/>
                <w:szCs w:val="24"/>
                <w:color w:val="000000"/>
              </w:rPr>
              <w:t>Количество документов, размещенных на стенде на момент оценки: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13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На информационном стенде размещена вся требуемая информация.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1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1.2. Соответствие информации о деятельности организации, размещенной на официальном сайте организации в сети «Интернет»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В соответствии с приказом Минкультуры России от 20.02.2015 №277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 на официальном сайте организации необходимо разместить 19 документов. </w:t>
            </w: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sz w:val="24"/>
                <w:szCs w:val="24"/>
                <w:color w:val="000000"/>
              </w:rPr>
              <w:t>Количество документов, размещенных на сайте на момент оценки: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8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Необходимо обеспечить размещение на сайте следующих документов: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Схема проезда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Дата создания организации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Сведения об учредителе (учредителях)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Структура организации культуры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Фамилии, имена, отчества, должности руководящего состава организации культуры, ее структурных подразделений и филиалов (при их наличии)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Копии нормативных правовых актов, устанавливающих цены (тарифы) на услуги либо порядок их установления, перечень оказываемых платных услуг, цены (тарифы) на услуги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Копия плана финансово-хозяйственной деятельности организации культуры (информация об объеме предоставляемых услуг)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Информация о планируемых мероприятиях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Информация о выполнении государственного (муниципального) задания, отчет о результатах деятельности учреждения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Результаты независимой оценки качества оказания услуг организациями культуры, а также предложения об улучшении качества их деятельности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  <w:color w:val="000000"/>
              </w:rPr>
              <w:t>- План по улучшению качества работы организации</w:t>
            </w: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1.3.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функционирование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В ходе независимой оценки проверялось функционирование 5-ти дистанционных способов обратной связи: посредством телефона, электронной почты, электронных сервисов обратной связи на сайте (форма обратной связи, онлайн-консультант и пр.), раздела «часто задаваемые вопросы», выражения получателем услуг мнения о качестве условий оказания услуг (наличие на сайте анкеты для опроса граждан или гиперссылки на нее).</w:t>
            </w:r>
          </w:p>
        </w:tc>
      </w:tr>
      <w:tr>
        <w:trPr>
          <w:cantSplit/>
          <w:trHeight w:val="0" w:hRule="auto"/>
        </w:trPr>
        <w:tc>
          <w:tcPr>
            <w:tcW w:w="7500" w:type="dxa"/>
            <w:gridSpan w:val="7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sz w:val="24"/>
                <w:szCs w:val="24"/>
                <w:color w:val="000000"/>
              </w:rPr>
              <w:t>Число способов обратной связи, функционирующих на момент оценки:</w:t>
            </w: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4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В ходе проверки организации были выявлены недостатки в функционировании следующих способов коммуникации с получателями услуг: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В ходе оценки зафиксирован факт отсутствия раздела «Часто задаваемые вопросы». В целях обеспечения открытости и доступности информации об организации целесообразно разместить данный раздел на сайте организации.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1"/>
              <w:jc w:val="center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top"/>
          </w:tcPr>
          <w:p>
            <w:pPr>
              <w:spacing w:after="0"/>
              <w:ind/>
              <w:wordWrap w:val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1.4. Удовлетворенность открытостью, полнотой и доступностью информации об организации</w:t>
            </w:r>
          </w:p>
        </w:tc>
      </w:tr>
      <w:tr>
        <w:trPr>
          <w:cantSplit/>
          <w:trHeight w:val="0" w:hRule="auto"/>
        </w:trPr>
        <w:tc>
          <w:tcPr>
            <w:tcW w:w="7500" w:type="dxa"/>
            <w:gridSpan w:val="7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В ходе проведения опроса получателей услуг зафиксирована</w:t>
            </w: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открытостью, полнотой и доступностью информации, размещенной на информационных стендах: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100</w:t>
            </w:r>
          </w:p>
        </w:tc>
      </w:tr>
      <w:tr>
        <w:trPr>
          <w:cantSplit/>
          <w:trHeight w:val="0" w:hRule="auto"/>
        </w:trPr>
        <w:tc>
          <w:tcPr>
            <w:tcW w:w="189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Рекомендации:</w:t>
            </w: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Для сохранения высокого уровня удовлетворенности открытостью, полнотой и доступностью информации и его постоянного повышения, необходимо соблюдать определенные требования. Информация должна быть актуальной, своевременной и содержательной.  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Целесообразно проводить внутренний мониторинг удовлетворенности получателей услуг информационной политикой организации.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открытостью, полнотой и доступностью информации, размещенной на сайте организации: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100</w:t>
            </w:r>
          </w:p>
        </w:tc>
      </w:tr>
      <w:tr>
        <w:trPr>
          <w:cantSplit/>
          <w:trHeight w:val="0" w:hRule="auto"/>
        </w:trPr>
        <w:tc>
          <w:tcPr>
            <w:tcW w:w="189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Рекомендации:</w:t>
            </w: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Для сохранения высокого уровня удовлетворенности открытостью, полнотой и доступностью информации, размещенной на сайте организации, и его повышения, необходимо осуществлять контроль за своевременным обновлением контента сайта.  Необходимо проводить диагностику удобства навигации по сайту.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Целесообразно проводить внутренний мониторинг удовлетворенности получателей услуг информационной политикой организации.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7500" w:type="dxa"/>
            <w:gridSpan w:val="7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2. КОМФОРТНОСТЬ УСЛОВИЙ ПРЕДОСТАВЛЕНИЯ УСЛУГ</w:t>
            </w: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2.1. Обеспечение в организации комфортных условий для предоставления услуг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Уровень и качество обеспечения комфортных условий предоставления услуг определялся посредством экспертной оценки внутренних помещений и внешней территории организации. Оценивалось наличие следующих условий: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зоны ожидания (отдыха);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и понятность навигации внутри организации;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доступная питьевая вода;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и доступность санитарно-гигиенических помещений;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и достаточность гардеробов;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санитарное состояние помещений организаций;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транспортная доступность (возможность доехать до организации на общественном транспорте, наличие парковки);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доступность записи на получение услуги (по телефону, на официальном сайте организации и пр.).</w:t>
            </w: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sz w:val="24"/>
                <w:szCs w:val="24"/>
                <w:color w:val="000000"/>
              </w:rPr>
              <w:t>Количество условий комфортности на момент проведения оценки: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Для повышения уровня комфортности необходимо обеспечить следующие  условия: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наличие и доступность санитарно-гигиенических помещений;- обеспечение транспортной доступности (возможность доехать до организации на общественном транспорте, наличие парковки);</w:t>
            </w:r>
          </w:p>
        </w:tc>
      </w:tr>
      <w:tr>
        <w:trPr>
          <w:cantSplit/>
          <w:trHeight w:val="0" w:hRule="auto"/>
        </w:trPr>
        <w:tc>
          <w:tcPr>
            <w:tcW w:w="5040" w:type="dxa"/>
            <w:gridSpan w:val="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2.2. Время ожидания предоставления услуги:</w:t>
            </w: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Показатель  «Время ожидания предоставления услуги» в сфере культуры не установлен.  Значение показателя рассчитывается как среднее арифметическое количество баллов по измеряемым критериям «Обеспечение в организации социальной сферы комфортных условий для предоставления услуг» и «Доля получателей услуг, удовлетворенных комфортностью предоставления услуг организацией социальной сферы».</w:t>
            </w: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2.3. Удовлетворенность комфортностью предоставления услуг</w:t>
            </w: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комфортностью предоставления услуг: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92</w:t>
            </w:r>
          </w:p>
        </w:tc>
      </w:tr>
      <w:tr>
        <w:trPr>
          <w:cantSplit/>
          <w:trHeight w:val="0" w:hRule="auto"/>
        </w:trPr>
        <w:tc>
          <w:tcPr>
            <w:tcW w:w="189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Рекомендации:</w:t>
            </w:r>
          </w:p>
        </w:tc>
        <w:tc>
          <w:tcPr>
            <w:tcW w:w="94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Для сохранения высокого уровня удовлетворенности комфортностью условий оказания услуг и для его повышения целесообразно на регулярной основе осуществлять благоустройство и поддержание в надлежащем состоянии здания и помещений (в том числе, санитарно-гигиенических зон, в которых необходимо размещать автоматические сушилки или бумажные полотенца, мыло, туалетную бумагу), территории, прилегающей к зданию организации, следить за состоянием мебели, доступностью питьевой воды и понятностью навигации внутри помещений организации.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Целесообразно проводить внутренний мониторинг удовлетворенности получателей услуг комфортностью условий оказания услуг.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6225" w:type="dxa"/>
            <w:gridSpan w:val="6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3. ДОСТУПНОСТЬ УСЛУГ ДЛЯ ИНВАЛИДОВ</w:t>
            </w: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Важным элементом комфортности условий оказания услуг организациями социального обслуживания выступает обеспечение доступной среды для людей с ограниченными возможностями, а также условий доступности, позволяющих инвалидам получать услуги наравне с другими. 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3.1. Оборудование помещений организации и прилегающей к ней территории с учетом доступности для инвалидов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В рамках независимой оценки качества условий оказания услуг оценивались следующие элементы доступной среды: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оборудование входных групп пандусами (подъемными платформами);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выделенных стоянок для автотранспортных средств инвалидов;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адаптированных лифтов, поручней, наличие расширенных дверных проемов;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сменных кресел-колясок;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специально оборудованных для инвалидов санитарно-гигиенических помещений.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sz w:val="24"/>
                <w:szCs w:val="24"/>
                <w:color w:val="000000"/>
              </w:rPr>
              <w:t>Количество элементов доступной среды на момент проведения оценки: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2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000000" w:fill="ffffff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Для обеспечения доступной среды для маломобильных получателей услуг необходимо оборудовать помещения и территорию организации следующими элементами: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наличие выделенных стоянок для автотранспортных средств инвалидов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наличие сменных кресел-колясок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наличие специально оборудованных для инвалидов санитарно-гигиенических помещений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3.2. Обеспечение в организации условий доступности, позволяющих инвалидам получать услуги наравне с другими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Наряду с оценкой доступности помещений и прилегающих территорий организации производилась оценка условий доступности, позволяющих инвалидам получать услуги наравне с другими. Учитывались следующие условия доступности услуг: 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дублирование для инвалидов по слуху и зрению звуковой и зрительной информации;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возможность предоставления инвалидам по слуху (слуху и зрению) услуг сурдопереводчика (тифлосурдопереводчика);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альтернативной версии официального сайта организации для инвалидов по зрению;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помощь, оказываемая работниками, прошедшими обучение по сопровождению инвалидов в помещении организации;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● наличие возможности предоставления услуги в дистанционном режиме или на дому.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sz w:val="24"/>
                <w:szCs w:val="24"/>
                <w:color w:val="000000"/>
              </w:rPr>
              <w:t>Количество условий доступности для инвалидов: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3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Для обеспечения условий доступности, позволяющих инвалидам получать услуги наравне с другими, необходимо обеспечить следующие условия:</w:t>
            </w: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дублирование для инвалидов по слуху и зрению звуковой и зрительной информации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возможность предоставления инвалидам по слуху (слуху и зрению) услуг сурдопереводчика (тифлосурдопереводчика)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- наличие возможности предоставления услуги в дистанционном режиме или на дому</w:t>
            </w: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bottom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3.3. Удовлетворенность доступностью услуг для инвалидов</w:t>
            </w: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доступностью услуг для инвалидов: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100</w:t>
            </w:r>
          </w:p>
        </w:tc>
      </w:tr>
      <w:tr>
        <w:trPr>
          <w:cantSplit/>
          <w:trHeight w:val="0" w:hRule="auto"/>
        </w:trPr>
        <w:tc>
          <w:tcPr>
            <w:tcW w:w="189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Рекомендации:</w:t>
            </w: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Для повышения и сохранения высокого уровня удовлетворенности доступностью услуг для инвалидов целесообразно на регулярной основе осуществлять контроль за состоянием элементов доступной среды и обеспечением условий, позволяющих инвалидам получать услуги наравне с другими.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Целесообразно проводить внутренний мониторинг удовлетворенности получателей услуг доступностью услуг для инвалидов.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4. ДОБРОЖЕЛАТЕЛЬНОСТЬ, ВЕЖЛИВОСТЬ РАБОТНИКОВ ОРГАНИЗАЦИИ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Показатель «Доброжелательность, вежливость работников организации» формируется за счет получения субъективных оценок получателей услуг, собираемых в ходе опроса.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доброжелательностью, вежливостью работников организации культуры, обеспечивающих первичный контакт и информирование получателя услуги при непосредственном обращении в организацию: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95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доброжелательностью, вежливостью работников организации социального обслуживания, обеспечивающих непосредственное оказание услуги при обращении в организацию (учреждение):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98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доброжелательностью, вежливостью работников организации социального обслуживания при использовании дистанционных форм взаимодействия (по телефону, по электронной почте, с помощью электронных сервисов, получение консультации по оказываемым услугам и пр.):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100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189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Рекомендации:</w:t>
            </w: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Для сохранения высокого уровня удовлетворенности доброжелательностью и вежливостью сотрудников организации и повышения этого уровня важно выстраивать с получателями грамотную коммуникацию. Основным принципом взаимоотношений между получателем услуг и представителем организации должен стать принцип уважения к личности. Культура общения  проявляется в умении выслушать, в проявлении отзывчивости и сопереживания. 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Целесообразно проводить внутренний мониторинг удовлетворенности получателей услуг доброжелательностью и вежливостью сотрудников организации.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center"/>
          </w:tcPr>
          <w:p>
            <w:pPr>
              <w:spacing w:after="0"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5. УДОВЛЕТВОРЕННОСТЬ УСЛОВИЯМИ ОКАЗАНИЯ УСЛУГ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которые готовы рекомендовать организацию культуры родственникам и знакомым (могли бы ее рекомендовать, если бы была возможность выбора организации)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98</w:t>
            </w: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организационными условиями оказания услуг (графиком и режимом работы) организации 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98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8115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cMar>
              <w:left w:w="0" w:type="dxa"/>
            </w:tcMar>
            <w:textDirection w:val="lrTb"/>
            <w:vAlign w:val="center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Доля получателей услуг, удовлетворенных в целом условиями оказания услуг в организации культуры</w:t>
            </w:r>
          </w:p>
        </w:tc>
        <w:tc>
          <w:tcPr>
            <w:tcW w:w="168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000000" w:fill="bfbfbf"/>
            <w:tcMar/>
            <w:textDirection w:val="lrTb"/>
            <w:vAlign w:val="center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color w:val="000000"/>
              </w:rPr>
              <w:t>98</w:t>
            </w:r>
          </w:p>
        </w:tc>
      </w:tr>
      <w:tr>
        <w:trPr>
          <w:cantSplit/>
          <w:trHeight w:val="0" w:hRule="auto"/>
        </w:trPr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189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i/>
                <w:b/>
                <w:sz w:val="24"/>
                <w:szCs w:val="24"/>
                <w:color w:val="000000"/>
              </w:rPr>
              <w:t>Рекомендации:</w:t>
            </w:r>
          </w:p>
        </w:tc>
        <w:tc>
          <w:tcPr>
            <w:tcW w:w="94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5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1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27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1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795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auto"/>
            <w:tcMar>
              <w:left w:w="0" w:type="dxa"/>
            </w:tcMar>
            <w:textDirection w:val="lrTb"/>
            <w:vAlign w:val="top"/>
          </w:tcPr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Уровень удовлетворенности условиями оказания услуг зависит от совокупности факторов, в том числе рассматриваемых в рамках независимой оценки качества. 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Важным направлением повышения уровня удовлетворенности выступает диалог с получателями услуг, в ходе которого можно определить причины недовольства, выявить недостатки в работе организации, найти оптимальные варианты решения проблем. </w:t>
            </w:r>
          </w:p>
          <w:p>
            <w:pPr>
              <w:spacing w:after="0"/>
              <w:ind w:left="0"/>
              <w:wordWrap w:val="1"/>
              <w:jc w:val="left"/>
            </w:pPr>
            <w:r>
              <w:rPr>
                <w:rFonts w:ascii="Times New Roman" w:hAnsi="Times New Roman"/>
                <w:sz w:val="24"/>
                <w:szCs w:val="24"/>
                <w:color w:val="000000"/>
              </w:rPr>
              <w:t>Целесообразно проводить внутренний мониторинг удовлетворенности получателей услуг разными аспектами условий оказания услуг, тренинги с сотрудниками организации, повышающие коммуникативные компетенции и снижающие риск возникновения синдрома профессионального выгорания.</w:t>
            </w:r>
          </w:p>
        </w:tc>
      </w:tr>
    </w:tbl>
    <w:sectPr>
      <w:footerReference w:type="default" r:id="rId9"/>
      <w:footerReference w:type="first" r:id="rId11"/>
      <w:pgSz w:w="11907" w:h="16839" w:orient="portrait"/>
      <w:pgMar w:top="567" w:right="567" w:bottom="567" w:left="1417"/>
      <w:titlePg/>
    </w:sectPr>
  </w:body>
</w:document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sdt>
    <w:sdtPr>
      <w:docPartObj>
        <w:docPartGallery w:val="Page Numbers (Top of Page)"/>
      </w:docPartObj>
    </w:sdtPr>
    <w:sdtContent>
      <w:p>
        <w:pPr>
          <w:pStyle w:val="a4"/>
        </w:pPr>
        <w:r>
          <w:ptab w:alignment="center" w:relativeTo="margin" w:leader="none"/>
        </w:r>
        <w:r>
          <w:rPr>
            <w:color w:val="000000"/>
            <w:rFonts w:ascii="Arial" w:hAnsi="Arial"/>
            <w:sz w:val="16"/>
          </w:rPr>
          <w:r>
            <w:rPr>
              <w:rFonts w:ascii="Arial" w:hAnsi="Arial"/>
              <w:sz w:val="16"/>
              <w:fldChar w:fldCharType="begin"/>
            </w:rPr>
          </w:r>
          <w:r>
            <w:rPr>
              <w:rFonts w:ascii="Arial" w:hAnsi="Arial"/>
              <w:sz w:val="16"/>
              <w:instrText> PAGE   \* MERGEFORMAT </w:instrText>
            </w:rPr>
          </w:r>
          <w:r>
            <w:rPr>
              <w:rFonts w:ascii="Arial" w:hAnsi="Arial"/>
              <w:sz w:val="16"/>
              <w:fldChar w:fldCharType="separate"/>
            </w:rPr>
          </w:r>
          <w:r>
            <w:rPr>
              <w:rFonts w:ascii="Arial" w:hAnsi="Arial"/>
              <w:sz w:val="16"/>
              <w:fldChar w:fldCharType="end"/>
            </w:rPr>
          </w:r>
        </w:r>
      </w:p>
    </w:sdtContent>
  </w:sdt>
  <w:p>
    <w:pPr>
      <w:pStyle w:val="a4"/>
    </w:pPr>
  </w:p>
</w:ftr>
</file>

<file path=word/footer2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sdt>
    <w:sdtPr>
      <w:docPartObj>
        <w:docPartGallery w:val="Page Numbers (Top of Page)"/>
      </w:docPartObj>
    </w:sdtPr>
  </w:sdt>
  <w:p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  <w:style w:type="paragraph" w:styleId="rId9">
    <w:name w:val="footer"/>
  </w:style>
  <w:style w:type="paragraph" w:styleId="rId11">
    <w:name w:val="footer"/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